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3.png" ContentType="image/png"/>
  <Override PartName="/word/media/image12.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Chutes</w:t>
      </w:r>
      <w:r>
        <w:t xml:space="preserve"> </w:t>
      </w:r>
      <w:r>
        <w:t xml:space="preserve">and</w:t>
      </w:r>
      <w:r>
        <w:t xml:space="preserve"> </w:t>
      </w:r>
      <w:r>
        <w:t xml:space="preserve">Ladders</w:t>
      </w:r>
    </w:p>
    <w:bookmarkStart w:id="30" w:name="body"/>
    <w:p>
      <w:pPr>
        <w:pStyle w:val="Heading1"/>
      </w:pPr>
      <w:r>
        <w:t xml:space="preserve">Body</w:t>
      </w:r>
    </w:p>
    <w:p>
      <w:pPr>
        <w:pStyle w:val="FirstParagraph"/>
      </w:pPr>
      <w:r>
        <w:t xml:space="preserve">Heat escaping the solid Earth’s surface indicates a dynamically cooling planet. Surface heat flow databases</w:t>
      </w:r>
      <w:r>
        <w:t xml:space="preserve"> </w:t>
      </w:r>
      <w:r>
        <w:t xml:space="preserve">(</w:t>
      </w:r>
      <w:hyperlink w:anchor="ref-hasterok2008">
        <w:r>
          <w:rPr>
            <w:rStyle w:val="Hyperlink"/>
          </w:rPr>
          <w:t xml:space="preserve">Hasterok &amp; Chapman, 2008</w:t>
        </w:r>
      </w:hyperlink>
      <w:r>
        <w:t xml:space="preserve">;</w:t>
      </w:r>
      <w:r>
        <w:t xml:space="preserve"> </w:t>
      </w:r>
      <w:hyperlink w:anchor="ref-lucazeau2019">
        <w:r>
          <w:rPr>
            <w:rStyle w:val="Hyperlink"/>
          </w:rPr>
          <w:t xml:space="preserve">Lucazeau, 2019</w:t>
        </w:r>
      </w:hyperlink>
      <w:r>
        <w:t xml:space="preserve">;</w:t>
      </w:r>
      <w:r>
        <w:t xml:space="preserve"> </w:t>
      </w:r>
      <w:hyperlink w:anchor="ref-pollack1993">
        <w:r>
          <w:rPr>
            <w:rStyle w:val="Hyperlink"/>
          </w:rPr>
          <w:t xml:space="preserve">Pollack et al., 1993</w:t>
        </w:r>
      </w:hyperlink>
      <w:r>
        <w:t xml:space="preserve">)</w:t>
      </w:r>
      <w:r>
        <w:t xml:space="preserve"> </w:t>
      </w:r>
      <w:r>
        <w:t xml:space="preserve">enable investigation</w:t>
      </w:r>
      <w:r>
        <w:t xml:space="preserve"> </w:t>
      </w:r>
      <w:r>
        <w:rPr>
          <w:iCs/>
          <w:i/>
        </w:rPr>
        <w:t xml:space="preserve">everything is related, but nearer things are more related</w:t>
      </w:r>
      <w:r>
        <w:t xml:space="preserve"> </w:t>
      </w:r>
      <w:r>
        <w:t xml:space="preserve">(</w:t>
      </w:r>
      <w:hyperlink w:anchor="ref-krige1951">
        <w:r>
          <w:rPr>
            <w:rStyle w:val="Hyperlink"/>
          </w:rPr>
          <w:t xml:space="preserve">Krige, 1951</w:t>
        </w:r>
      </w:hyperlink>
      <w:r>
        <w:t xml:space="preserve">;</w:t>
      </w:r>
      <w:r>
        <w:t xml:space="preserve"> </w:t>
      </w:r>
      <w:hyperlink w:anchor="ref-matheron1963">
        <w:r>
          <w:rPr>
            <w:rStyle w:val="Hyperlink"/>
          </w:rPr>
          <w:t xml:space="preserve">Matheron, 1963</w:t>
        </w:r>
      </w:hyperlink>
      <w:r>
        <w:t xml:space="preserve">)</w:t>
      </w:r>
      <w:r>
        <w:t xml:space="preserve">. The spatial (dis)continuity of surface heat flow represents the areal extent of geodynamic processes and their interactions. For example, patterns of consistently low surface heat flow outline the areal extent of cratons (Figure 1)</w:t>
      </w:r>
    </w:p>
    <w:bookmarkStart w:id="22" w:name="figures"/>
    <w:p>
      <w:pPr>
        <w:pStyle w:val="Heading2"/>
      </w:pPr>
      <w:r>
        <w:t xml:space="preserve">Figures</w:t>
      </w:r>
    </w:p>
    <w:p>
      <w:pPr>
        <w:pStyle w:val="CaptionedFigure"/>
      </w:pPr>
      <w:bookmarkStart w:id="21" w:name="fig:lucahf"/>
      <w:r>
        <w:drawing>
          <wp:inline>
            <wp:extent cx="4587290" cy="4587290"/>
            <wp:effectExtent b="0" l="0" r="0" t="0"/>
            <wp:docPr descr="Figure 1: A cars plot" title="" id="1" name="Picture"/>
            <a:graphic>
              <a:graphicData uri="http://schemas.openxmlformats.org/drawingml/2006/picture">
                <pic:pic>
                  <pic:nvPicPr>
                    <pic:cNvPr descr="cars.png" id="0" name="Picture"/>
                    <pic:cNvPicPr>
                      <a:picLocks noChangeArrowheads="1" noChangeAspect="1"/>
                    </pic:cNvPicPr>
                  </pic:nvPicPr>
                  <pic:blipFill>
                    <a:blip r:embed="rId20"/>
                    <a:stretch>
                      <a:fillRect/>
                    </a:stretch>
                  </pic:blipFill>
                  <pic:spPr bwMode="auto">
                    <a:xfrm>
                      <a:off x="0" y="0"/>
                      <a:ext cx="4587290" cy="4587290"/>
                    </a:xfrm>
                    <a:prstGeom prst="rect">
                      <a:avLst/>
                    </a:prstGeom>
                    <a:noFill/>
                    <a:ln w="9525">
                      <a:noFill/>
                      <a:headEnd/>
                      <a:tailEnd/>
                    </a:ln>
                  </pic:spPr>
                </pic:pic>
              </a:graphicData>
            </a:graphic>
          </wp:inline>
        </w:drawing>
      </w:r>
      <w:bookmarkEnd w:id="21"/>
    </w:p>
    <w:p>
      <w:pPr>
        <w:pStyle w:val="ImageCaption"/>
      </w:pPr>
      <w:r>
        <w:t xml:space="preserve">Figure 1: A cars plot</w:t>
      </w:r>
    </w:p>
    <w:bookmarkEnd w:id="22"/>
    <w:bookmarkStart w:id="24" w:name="equations"/>
    <w:p>
      <w:pPr>
        <w:pStyle w:val="Heading2"/>
      </w:pPr>
      <w:r>
        <w:t xml:space="preserve">Equations</w:t>
      </w:r>
    </w:p>
    <w:p>
      <w:pPr>
        <w:pStyle w:val="FirstParagraph"/>
      </w:pPr>
      <w:r>
        <w:t xml:space="preserve">Like</w:t>
      </w:r>
      <w:r>
        <w:t xml:space="preserve"> </w:t>
      </w:r>
      <w:hyperlink w:anchor="ref-lucazeau2019">
        <w:r>
          <w:rPr>
            <w:rStyle w:val="Hyperlink"/>
          </w:rPr>
          <w:t xml:space="preserve">Lucazeau</w:t>
        </w:r>
      </w:hyperlink>
      <w:r>
        <w:t xml:space="preserve"> </w:t>
      </w:r>
      <w:r>
        <w:t xml:space="preserve">(</w:t>
      </w:r>
      <w:hyperlink w:anchor="ref-lucazeau2019">
        <w:r>
          <w:rPr>
            <w:rStyle w:val="Hyperlink"/>
          </w:rPr>
          <w:t xml:space="preserve">2019</w:t>
        </w:r>
      </w:hyperlink>
      <w:r>
        <w:t xml:space="preserve">)</w:t>
      </w:r>
      <w:r>
        <w:t xml:space="preserve">, we exclude 4790 poor quality observations (Code 6 = D) from our analysis. We further remove 350 data points without heat flow observations and two without geographic information. Multiple observations at the same location are parsed to avoid singular covariance matrices during Kriging:</w:t>
      </w:r>
    </w:p>
    <w:p>
      <w:pPr>
        <w:pStyle w:val="BodyText"/>
      </w:pPr>
      <w:bookmarkStart w:id="23" w:name="eq:parse"/>
      <m:oMathPara>
        <m:oMathParaPr>
          <m:jc m:val="center"/>
        </m:oMathParaPr>
        <m:oMath>
          <m:m>
            <m:mPr>
              <m:baseJc m:val="center"/>
              <m:plcHide m:val="1"/>
              <m:mcs>
                <m:mc>
                  <m:mcPr>
                    <m:mcJc m:val="right"/>
                    <m:count m:val="1"/>
                  </m:mcPr>
                </m:mc>
                <m:mc>
                  <m:mcPr>
                    <m:mcJc m:val="left"/>
                    <m:count m:val="1"/>
                  </m:mcPr>
                </m:mc>
              </m:mcs>
            </m:mPr>
            <m:mr>
              <m:e>
                <m:r>
                  <m:t>f</m:t>
                </m:r>
                <m:d>
                  <m:dPr>
                    <m:begChr m:val="("/>
                    <m:endChr m:val=")"/>
                    <m:grow/>
                  </m:dPr>
                  <m:e>
                    <m:sSubSup>
                      <m:e>
                        <m:r>
                          <m:t>X</m:t>
                        </m:r>
                      </m:e>
                      <m:sub>
                        <m:r>
                          <m:t>i</m:t>
                        </m:r>
                      </m:sub>
                      <m:sup>
                        <m:r>
                          <m:t>q</m:t>
                        </m:r>
                      </m:sup>
                    </m:sSubSup>
                    <m:r>
                      <m:rPr>
                        <m:sty m:val="p"/>
                      </m:rPr>
                      <m:t>,</m:t>
                    </m:r>
                    <m:sSubSup>
                      <m:e>
                        <m:r>
                          <m:t>Y</m:t>
                        </m:r>
                      </m:e>
                      <m:sub>
                        <m:r>
                          <m:t>i</m:t>
                        </m:r>
                      </m:sub>
                      <m:sup>
                        <m:r>
                          <m:t>q</m:t>
                        </m:r>
                      </m:sup>
                    </m:sSubSup>
                  </m:e>
                </m:d>
              </m:e>
              <m:e>
                <m:r>
                  <m:rPr>
                    <m:sty m:val="p"/>
                  </m:rPr>
                  <m:t>=</m:t>
                </m:r>
              </m:e>
            </m:mr>
            <m:mr>
              <m:e>
                <m:sSubSup>
                  <m:e>
                    <m:r>
                      <m:t>X</m:t>
                    </m:r>
                  </m:e>
                  <m:sub>
                    <m:r>
                      <m:t>i</m:t>
                    </m:r>
                  </m:sub>
                  <m:sup>
                    <m:r>
                      <m:t>q</m:t>
                    </m:r>
                  </m:sup>
                </m:sSubSup>
                <m:r>
                  <m:rPr>
                    <m:sty m:val="p"/>
                  </m:rPr>
                  <m:t>&gt;</m:t>
                </m:r>
                <m:sSubSup>
                  <m:e>
                    <m:r>
                      <m:t>Y</m:t>
                    </m:r>
                  </m:e>
                  <m:sub>
                    <m:r>
                      <m:t>i</m:t>
                    </m:r>
                  </m:sub>
                  <m:sup>
                    <m:r>
                      <m:t>q</m:t>
                    </m:r>
                  </m:sup>
                </m:sSubSup>
              </m:e>
              <m:e>
                <m:r>
                  <m:rPr>
                    <m:sty m:val="p"/>
                  </m:rPr>
                  <m:t>→</m:t>
                </m:r>
                <m:sSub>
                  <m:e>
                    <m:r>
                      <m:t>z</m:t>
                    </m:r>
                  </m:e>
                  <m:sub>
                    <m:r>
                      <m:t>i</m:t>
                    </m:r>
                  </m:sub>
                </m:sSub>
                <m:r>
                  <m:rPr>
                    <m:sty m:val="p"/>
                  </m:rPr>
                  <m:t>=</m:t>
                </m:r>
                <m:sSub>
                  <m:e>
                    <m:r>
                      <m:t>x</m:t>
                    </m:r>
                  </m:e>
                  <m:sub>
                    <m:r>
                      <m:t>i</m:t>
                    </m:r>
                  </m:sub>
                </m:sSub>
              </m:e>
            </m:mr>
            <m:mr>
              <m:e>
                <m:sSubSup>
                  <m:e>
                    <m:r>
                      <m:t>X</m:t>
                    </m:r>
                  </m:e>
                  <m:sub>
                    <m:r>
                      <m:t>i</m:t>
                    </m:r>
                  </m:sub>
                  <m:sup>
                    <m:r>
                      <m:t>q</m:t>
                    </m:r>
                  </m:sup>
                </m:sSubSup>
                <m:r>
                  <m:rPr>
                    <m:sty m:val="p"/>
                  </m:rPr>
                  <m:t>&lt;</m:t>
                </m:r>
                <m:sSubSup>
                  <m:e>
                    <m:r>
                      <m:t>Y</m:t>
                    </m:r>
                  </m:e>
                  <m:sub>
                    <m:r>
                      <m:t>i</m:t>
                    </m:r>
                  </m:sub>
                  <m:sup>
                    <m:r>
                      <m:t>q</m:t>
                    </m:r>
                  </m:sup>
                </m:sSubSup>
              </m:e>
              <m:e>
                <m:r>
                  <m:rPr>
                    <m:sty m:val="p"/>
                  </m:rPr>
                  <m:t>→</m:t>
                </m:r>
                <m:sSub>
                  <m:e>
                    <m:r>
                      <m:t>z</m:t>
                    </m:r>
                  </m:e>
                  <m:sub>
                    <m:r>
                      <m:t>i</m:t>
                    </m:r>
                  </m:sub>
                </m:sSub>
                <m:r>
                  <m:rPr>
                    <m:sty m:val="p"/>
                  </m:rPr>
                  <m:t>=</m:t>
                </m:r>
                <m:sSub>
                  <m:e>
                    <m:r>
                      <m:t>y</m:t>
                    </m:r>
                  </m:e>
                  <m:sub>
                    <m:r>
                      <m:t>i</m:t>
                    </m:r>
                  </m:sub>
                </m:sSub>
              </m:e>
            </m:mr>
            <m:mr>
              <m:e>
                <m:sSubSup>
                  <m:e>
                    <m:r>
                      <m:t>X</m:t>
                    </m:r>
                  </m:e>
                  <m:sub>
                    <m:r>
                      <m:t>i</m:t>
                    </m:r>
                  </m:sub>
                  <m:sup>
                    <m:r>
                      <m:t>q</m:t>
                    </m:r>
                  </m:sup>
                </m:sSubSup>
                <m:r>
                  <m:rPr>
                    <m:sty m:val="p"/>
                  </m:rPr>
                  <m:t>=</m:t>
                </m:r>
                <m:sSubSup>
                  <m:e>
                    <m:r>
                      <m:t>Y</m:t>
                    </m:r>
                  </m:e>
                  <m:sub>
                    <m:r>
                      <m:t>i</m:t>
                    </m:r>
                  </m:sub>
                  <m:sup>
                    <m:r>
                      <m:t>q</m:t>
                    </m:r>
                  </m:sup>
                </m:sSubSup>
              </m:e>
              <m:e>
                <m:r>
                  <m:rPr>
                    <m:sty m:val="p"/>
                  </m:rPr>
                  <m:t>→</m:t>
                </m:r>
                <m:sSub>
                  <m:e>
                    <m:r>
                      <m:t>z</m:t>
                    </m:r>
                  </m:e>
                  <m:sub>
                    <m:r>
                      <m:t>i</m:t>
                    </m:r>
                  </m:sub>
                </m:sSub>
                <m:r>
                  <m:rPr>
                    <m:sty m:val="p"/>
                  </m:rPr>
                  <m:t>=</m:t>
                </m:r>
                <m:r>
                  <m:t>R</m:t>
                </m:r>
                <m:r>
                  <m:t>A</m:t>
                </m:r>
                <m:r>
                  <m:t>N</m:t>
                </m:r>
                <m:r>
                  <m:t>D</m:t>
                </m:r>
                <m:d>
                  <m:dPr>
                    <m:begChr m:val="("/>
                    <m:endChr m:val=")"/>
                    <m:grow/>
                  </m:dPr>
                  <m:e>
                    <m:sSub>
                      <m:e>
                        <m:r>
                          <m:t>x</m:t>
                        </m:r>
                      </m:e>
                      <m:sub>
                        <m:r>
                          <m:t>i</m:t>
                        </m:r>
                      </m:sub>
                    </m:sSub>
                    <m:r>
                      <m:rPr>
                        <m:sty m:val="p"/>
                      </m:rPr>
                      <m:t>,</m:t>
                    </m:r>
                    <m:sSub>
                      <m:e>
                        <m:r>
                          <m:t>y</m:t>
                        </m:r>
                      </m:e>
                      <m:sub>
                        <m:r>
                          <m:t>i</m:t>
                        </m:r>
                      </m:sub>
                    </m:sSub>
                  </m:e>
                </m:d>
              </m:e>
            </m:mr>
          </m:m>
          <m:r>
            <m:t>  </m:t>
          </m:r>
          <m:d>
            <m:dPr>
              <m:begChr m:val="("/>
              <m:endChr m:val=")"/>
              <m:grow/>
            </m:dPr>
            <m:e>
              <m:r>
                <m:t>1</m:t>
              </m:r>
            </m:e>
          </m:d>
        </m:oMath>
      </m:oMathPara>
      <w:bookmarkEnd w:id="23"/>
    </w:p>
    <w:p>
      <w:pPr>
        <w:pStyle w:val="FirstParagraph"/>
      </w:pPr>
      <w:r>
        <w:t xml:space="preserve">where</w:t>
      </w:r>
      <w:r>
        <w:t xml:space="preserve"> </w:t>
      </w:r>
      <m:oMath>
        <m:sSubSup>
          <m:e>
            <m:r>
              <m:t>X</m:t>
            </m:r>
          </m:e>
          <m:sub>
            <m:r>
              <m:t>i</m:t>
            </m:r>
          </m:sub>
          <m:sup>
            <m:r>
              <m:t>q</m:t>
            </m:r>
          </m:sup>
        </m:sSubSup>
      </m:oMath>
      <w:r>
        <w:t xml:space="preserve"> </w:t>
      </w:r>
      <w:r>
        <w:t xml:space="preserve">and</w:t>
      </w:r>
      <w:r>
        <w:t xml:space="preserve"> </w:t>
      </w:r>
      <m:oMath>
        <m:sSubSup>
          <m:e>
            <m:r>
              <m:t>Y</m:t>
            </m:r>
          </m:e>
          <m:sub>
            <m:r>
              <m:t>i</m:t>
            </m:r>
          </m:sub>
          <m:sup>
            <m:r>
              <m:t>q</m:t>
            </m:r>
          </m:sup>
        </m:sSubSup>
      </m:oMath>
      <w:r>
        <w:t xml:space="preserve"> </w:t>
      </w:r>
      <w:r>
        <w:t xml:space="preserve">represent the quality of each duplicate observation pair at location</w:t>
      </w:r>
      <w:r>
        <w:t xml:space="preserve"> </w:t>
      </w:r>
      <m:oMath>
        <m:r>
          <m:t>i</m:t>
        </m:r>
      </m:oMath>
      <w:r>
        <w:t xml:space="preserve">,</w:t>
      </w:r>
      <w:r>
        <w:t xml:space="preserve"> </w:t>
      </w:r>
      <m:oMath>
        <m:r>
          <m:t>R</m:t>
        </m:r>
        <m:r>
          <m:t>A</m:t>
        </m:r>
        <m:r>
          <m:t>N</m:t>
        </m:r>
        <m:r>
          <m:t>D</m:t>
        </m:r>
      </m:oMath>
      <w:r>
        <w:t xml:space="preserve"> </w:t>
      </w:r>
      <w:r>
        <w:t xml:space="preserve">is a random function that selects either the observation</w:t>
      </w:r>
      <w:r>
        <w:t xml:space="preserve"> </w:t>
      </w:r>
      <m:oMath>
        <m:sSub>
          <m:e>
            <m:r>
              <m:t>x</m:t>
            </m:r>
          </m:e>
          <m:sub>
            <m:r>
              <m:t>i</m:t>
            </m:r>
          </m:sub>
        </m:sSub>
      </m:oMath>
      <w:r>
        <w:t xml:space="preserve"> </w:t>
      </w:r>
      <w:r>
        <w:t xml:space="preserve">or</w:t>
      </w:r>
      <w:r>
        <w:t xml:space="preserve"> </w:t>
      </w:r>
      <m:oMath>
        <m:sSub>
          <m:e>
            <m:r>
              <m:t>y</m:t>
            </m:r>
          </m:e>
          <m:sub>
            <m:r>
              <m:t>i</m:t>
            </m:r>
          </m:sub>
        </m:sSub>
      </m:oMath>
      <w:r>
        <w:t xml:space="preserve">, and</w:t>
      </w:r>
      <w:r>
        <w:t xml:space="preserve"> </w:t>
      </w:r>
      <m:oMath>
        <m:sSub>
          <m:e>
            <m:r>
              <m:t>z</m:t>
            </m:r>
          </m:e>
          <m:sub>
            <m:r>
              <m:t>i</m:t>
            </m:r>
          </m:sub>
        </m:sSub>
      </m:oMath>
      <w:r>
        <w:t xml:space="preserve"> </w:t>
      </w:r>
      <w:r>
        <w:t xml:space="preserve">stores the observation selected by</w:t>
      </w:r>
      <w:r>
        <w:t xml:space="preserve"> </w:t>
      </w:r>
      <m:oMath>
        <m:r>
          <m:t>f</m:t>
        </m:r>
        <m:d>
          <m:dPr>
            <m:begChr m:val="("/>
            <m:endChr m:val=")"/>
            <m:grow/>
          </m:dPr>
          <m:e>
            <m:sSubSup>
              <m:e>
                <m:r>
                  <m:t>X</m:t>
                </m:r>
              </m:e>
              <m:sub>
                <m:r>
                  <m:t>i</m:t>
                </m:r>
              </m:sub>
              <m:sup>
                <m:r>
                  <m:t>q</m:t>
                </m:r>
              </m:sup>
            </m:sSubSup>
            <m:r>
              <m:rPr>
                <m:sty m:val="p"/>
              </m:rPr>
              <m:t>,</m:t>
            </m:r>
            <m:sSubSup>
              <m:e>
                <m:r>
                  <m:t>Y</m:t>
                </m:r>
              </m:e>
              <m:sub>
                <m:r>
                  <m:t>i</m:t>
                </m:r>
              </m:sub>
              <m:sup>
                <m:r>
                  <m:t>q</m:t>
                </m:r>
              </m:sup>
            </m:sSubSup>
          </m:e>
        </m:d>
      </m:oMath>
      <w:r>
        <w:t xml:space="preserve">. The final dataset used for Kriging has</w:t>
      </w:r>
      <w:r>
        <w:t xml:space="preserve"> </w:t>
      </w:r>
      <m:oMath>
        <m:r>
          <m:t>n</m:t>
        </m:r>
        <m:r>
          <m:rPr>
            <m:sty m:val="p"/>
          </m:rPr>
          <m:t>=</m:t>
        </m:r>
      </m:oMath>
      <w:r>
        <w:t xml:space="preserve"> </w:t>
      </w:r>
      <w:r>
        <w:t xml:space="preserve">55274 observations after parsing</w:t>
      </w:r>
      <w:r>
        <w:t xml:space="preserve"> </w:t>
      </w:r>
      <m:oMath>
        <m:r>
          <m:t>n</m:t>
        </m:r>
        <m:r>
          <m:rPr>
            <m:sty m:val="p"/>
          </m:rPr>
          <m:t>=</m:t>
        </m:r>
      </m:oMath>
      <w:r>
        <w:t xml:space="preserve"> </w:t>
      </w:r>
      <w:r>
        <w:t xml:space="preserve">32430 duplicate observation. We use Equation 1 to</w:t>
      </w:r>
    </w:p>
    <w:bookmarkEnd w:id="24"/>
    <w:bookmarkStart w:id="26" w:name="code"/>
    <w:p>
      <w:pPr>
        <w:pStyle w:val="Heading2"/>
      </w:pPr>
      <w:r>
        <w:t xml:space="preserve">Code</w:t>
      </w:r>
    </w:p>
    <w:p>
      <w:pPr>
        <w:pStyle w:val="FirstParagraph"/>
      </w:pPr>
      <w:r>
        <w:t xml:space="preserve">You can link to code at</w:t>
      </w:r>
      <w:r>
        <w:t xml:space="preserve"> </w:t>
      </w:r>
      <w:hyperlink r:id="rId25">
        <w:r>
          <w:rPr>
            <w:rStyle w:val="Hyperlink"/>
          </w:rPr>
          <w:t xml:space="preserve">https://doi.org/10.17605/OSF.IO/CA6ZU</w:t>
        </w:r>
      </w:hyperlink>
      <w:r>
        <w:t xml:space="preserve">.</w:t>
      </w:r>
    </w:p>
    <w:p>
      <w:pPr>
        <w:pStyle w:val="SourceCode"/>
      </w:pPr>
      <w:r>
        <w:rPr>
          <w:rStyle w:val="VerbatimChar"/>
        </w:rPr>
        <w:t xml:space="preserve">+proj=robin +lon_0=-155 +lon_wrap=-155 +x_0=0 +y_0=0</w:t>
      </w:r>
      <w:r>
        <w:br/>
      </w:r>
      <w:r>
        <w:rPr>
          <w:rStyle w:val="VerbatimChar"/>
        </w:rPr>
        <w:t xml:space="preserve">+ellps=WGS84 +datum=WGS84 +units=m +no_defs</w:t>
      </w:r>
    </w:p>
    <w:bookmarkEnd w:id="26"/>
    <w:bookmarkStart w:id="29" w:name="tables"/>
    <w:p>
      <w:pPr>
        <w:pStyle w:val="Heading2"/>
      </w:pPr>
      <w:r>
        <w:t xml:space="preserve">Tables</w:t>
      </w:r>
    </w:p>
    <w:bookmarkStart w:id="27" w:name="tbl:cars.summary.table"/>
    <w:p>
      <w:pPr>
        <w:pStyle w:val="TableCaption"/>
      </w:pPr>
      <w:r>
        <w:t xml:space="preserve">Table 1: Car (</w:t>
      </w:r>
      <m:oMath>
        <m:r>
          <m:t>m</m:t>
        </m:r>
        <m:r>
          <m:t>W</m:t>
        </m:r>
        <m:sSup>
          <m:e>
            <m:r>
              <m:t>m</m:t>
            </m:r>
          </m:e>
          <m:sup>
            <m:r>
              <m:rPr>
                <m:sty m:val="p"/>
              </m:rPr>
              <m:t>−</m:t>
            </m:r>
            <m:r>
              <m:t>2</m:t>
            </m:r>
          </m:sup>
        </m:sSup>
      </m:oMath>
      <w:r>
        <w:t xml:space="preserve">) observations</w:t>
      </w:r>
    </w:p>
    <w:tbl>
      <w:tblPr>
        <w:tblStyle w:val="Table"/>
        <w:tblW w:type="pct" w:w="0"/>
        <w:tblLook w:firstRow="1" w:lastRow="0" w:firstColumn="0" w:lastColumn="0" w:noHBand="0" w:noVBand="0" w:val="0020"/>
        <w:tblCaption w:val="Table 1: Car (mWm^{-2}) observations"/>
      </w:tblPr>
      <w:tblGrid/>
      <w:tr>
        <w:tc>
          <w:p>
            <w:pPr>
              <w:pStyle w:val="Compact"/>
              <w:jc w:val="right"/>
            </w:pPr>
            <w:r>
              <w:t xml:space="preserve">n</w:t>
            </w:r>
          </w:p>
        </w:tc>
        <w:tc>
          <w:p>
            <w:pPr>
              <w:pStyle w:val="Compact"/>
              <w:jc w:val="right"/>
            </w:pPr>
            <w:r>
              <w:t xml:space="preserve">mean</w:t>
            </w:r>
          </w:p>
        </w:tc>
        <w:tc>
          <w:p>
            <w:pPr>
              <w:pStyle w:val="Compact"/>
              <w:jc w:val="right"/>
            </w:pPr>
            <w:r>
              <w:t xml:space="preserve">tot.hp</w:t>
            </w:r>
          </w:p>
        </w:tc>
        <w:tc>
          <w:p>
            <w:pPr>
              <w:pStyle w:val="Compact"/>
              <w:jc w:val="right"/>
            </w:pPr>
            <w:r>
              <w:t xml:space="preserve">tot.cyl</w:t>
            </w:r>
          </w:p>
        </w:tc>
      </w:tr>
      <w:tr>
        <w:tc>
          <w:p>
            <w:pPr>
              <w:pStyle w:val="Compact"/>
              <w:jc w:val="right"/>
            </w:pPr>
            <w:r>
              <w:t xml:space="preserve">32</w:t>
            </w:r>
          </w:p>
        </w:tc>
        <w:tc>
          <w:p>
            <w:pPr>
              <w:pStyle w:val="Compact"/>
              <w:jc w:val="right"/>
            </w:pPr>
            <w:r>
              <w:t xml:space="preserve">20.09062</w:t>
            </w:r>
          </w:p>
        </w:tc>
        <w:tc>
          <w:p>
            <w:pPr>
              <w:pStyle w:val="Compact"/>
              <w:jc w:val="right"/>
            </w:pPr>
            <w:r>
              <w:t xml:space="preserve">4694</w:t>
            </w:r>
          </w:p>
        </w:tc>
        <w:tc>
          <w:p>
            <w:pPr>
              <w:pStyle w:val="Compact"/>
              <w:jc w:val="right"/>
            </w:pPr>
            <w:r>
              <w:t xml:space="preserve">198</w:t>
            </w:r>
          </w:p>
        </w:tc>
      </w:tr>
    </w:tbl>
    <w:bookmarkEnd w:id="27"/>
    <w:p>
      <w:pPr>
        <w:pStyle w:val="CaptionedFigure"/>
      </w:pPr>
      <w:bookmarkStart w:id="28" w:name="fig:car.summary.plot"/>
      <w:r>
        <w:drawing>
          <wp:inline>
            <wp:extent cx="4587290" cy="4587290"/>
            <wp:effectExtent b="0" l="0" r="0" t="0"/>
            <wp:docPr descr="Figure 2: The total number of cylinders is 198 mWm^{-2} and highly skewed right" title="" id="1" name="Picture"/>
            <a:graphic>
              <a:graphicData uri="http://schemas.openxmlformats.org/drawingml/2006/picture">
                <pic:pic>
                  <pic:nvPicPr>
                    <pic:cNvPr descr="cars.png" id="0" name="Picture"/>
                    <pic:cNvPicPr>
                      <a:picLocks noChangeArrowheads="1" noChangeAspect="1"/>
                    </pic:cNvPicPr>
                  </pic:nvPicPr>
                  <pic:blipFill>
                    <a:blip r:embed="rId20"/>
                    <a:stretch>
                      <a:fillRect/>
                    </a:stretch>
                  </pic:blipFill>
                  <pic:spPr bwMode="auto">
                    <a:xfrm>
                      <a:off x="0" y="0"/>
                      <a:ext cx="4587290" cy="4587290"/>
                    </a:xfrm>
                    <a:prstGeom prst="rect">
                      <a:avLst/>
                    </a:prstGeom>
                    <a:noFill/>
                    <a:ln w="9525">
                      <a:noFill/>
                      <a:headEnd/>
                      <a:tailEnd/>
                    </a:ln>
                  </pic:spPr>
                </pic:pic>
              </a:graphicData>
            </a:graphic>
          </wp:inline>
        </w:drawing>
      </w:r>
      <w:bookmarkEnd w:id="28"/>
    </w:p>
    <w:p>
      <w:pPr>
        <w:pStyle w:val="ImageCaption"/>
      </w:pPr>
      <w:r>
        <w:t xml:space="preserve">Figure 2: The total number of cylinders is 198</w:t>
      </w:r>
      <w:r>
        <w:t xml:space="preserve"> </w:t>
      </w:r>
      <m:oMath>
        <m:r>
          <m:t>m</m:t>
        </m:r>
        <m:r>
          <m:t>W</m:t>
        </m:r>
        <m:sSup>
          <m:e>
            <m:r>
              <m:t>m</m:t>
            </m:r>
          </m:e>
          <m:sup>
            <m:r>
              <m:rPr>
                <m:sty m:val="p"/>
              </m:rPr>
              <m:t>−</m:t>
            </m:r>
            <m:r>
              <m:t>2</m:t>
            </m:r>
          </m:sup>
        </m:sSup>
      </m:oMath>
      <w:r>
        <w:t xml:space="preserve"> </w:t>
      </w:r>
      <w:r>
        <w:t xml:space="preserve">and highly skewed right</w:t>
      </w:r>
    </w:p>
    <w:bookmarkEnd w:id="29"/>
    <w:bookmarkEnd w:id="30"/>
    <w:bookmarkStart w:id="31" w:name="lists"/>
    <w:p>
      <w:pPr>
        <w:pStyle w:val="Heading1"/>
      </w:pPr>
      <w:r>
        <w:t xml:space="preserve">Lists</w:t>
      </w:r>
    </w:p>
    <w:p>
      <w:pPr>
        <w:pStyle w:val="FirstParagraph"/>
      </w:pPr>
      <w:r>
        <w:t xml:space="preserve">This study uses</w:t>
      </w:r>
    </w:p>
    <w:p>
      <w:pPr>
        <w:numPr>
          <w:ilvl w:val="0"/>
          <w:numId w:val="1001"/>
        </w:numPr>
        <w:pStyle w:val="Compact"/>
      </w:pPr>
      <w:r>
        <w:t xml:space="preserve">Inconsistent patterns</w:t>
      </w:r>
    </w:p>
    <w:p>
      <w:pPr>
        <w:numPr>
          <w:ilvl w:val="0"/>
          <w:numId w:val="1001"/>
        </w:numPr>
        <w:pStyle w:val="Compact"/>
      </w:pPr>
      <w:r>
        <w:t xml:space="preserve">Kriging and similarity</w:t>
      </w:r>
    </w:p>
    <w:p>
      <w:pPr>
        <w:numPr>
          <w:ilvl w:val="0"/>
          <w:numId w:val="1001"/>
        </w:numPr>
        <w:pStyle w:val="Compact"/>
      </w:pPr>
      <w:r>
        <w:t xml:space="preserve">For testing hypotheses</w:t>
      </w:r>
    </w:p>
    <w:p>
      <w:pPr>
        <w:numPr>
          <w:ilvl w:val="0"/>
          <w:numId w:val="1001"/>
        </w:numPr>
        <w:pStyle w:val="Compact"/>
      </w:pPr>
      <w:r>
        <w:t xml:space="preserve">Focused improvements</w:t>
      </w:r>
    </w:p>
    <w:p>
      <w:pPr>
        <w:numPr>
          <w:ilvl w:val="0"/>
          <w:numId w:val="1001"/>
        </w:numPr>
        <w:pStyle w:val="Compact"/>
      </w:pPr>
      <w:r>
        <w:t xml:space="preserve">Improving Kriging</w:t>
      </w:r>
    </w:p>
    <w:bookmarkEnd w:id="31"/>
    <w:bookmarkStart w:id="32" w:name="open-research"/>
    <w:p>
      <w:pPr>
        <w:pStyle w:val="Heading1"/>
      </w:pPr>
      <w:r>
        <w:t xml:space="preserve">Open Research</w:t>
      </w:r>
    </w:p>
    <w:p>
      <w:pPr>
        <w:pStyle w:val="FirstParagraph"/>
      </w:pPr>
      <w:r>
        <w:t xml:space="preserve">All data, code, and heat flow interpolations can be found at</w:t>
      </w:r>
      <w:r>
        <w:t xml:space="preserve"> </w:t>
      </w:r>
      <w:r>
        <w:rPr>
          <w:rStyle w:val="VerbatimChar"/>
        </w:rPr>
        <w:t xml:space="preserve">https://doi.org/10.17605/OSF.IO/CA6ZU</w:t>
      </w:r>
      <w:r>
        <w:t xml:space="preserve">, the official Open Science Framework data repository. All code is MIT Licensed and free for use and distribution (see license details, sec. 5.1.1).</w:t>
      </w:r>
    </w:p>
    <w:p>
      <w:pPr>
        <w:pStyle w:val="BodyText"/>
      </w:pPr>
      <w:r>
        <w:t xml:space="preserve">We thank D. D for providing the NGHF. This work was supported by the National Science Foundation grant OIA1545903 to M. Kohn, S. Penniston-Dorland, and M. Feineman.</w:t>
      </w:r>
    </w:p>
    <w:bookmarkEnd w:id="32"/>
    <w:bookmarkStart w:id="34" w:name="references"/>
    <w:p>
      <w:pPr>
        <w:pStyle w:val="Heading1"/>
      </w:pPr>
      <w:r>
        <w:t xml:space="preserve">References</w:t>
      </w:r>
    </w:p>
    <w:bookmarkStart w:id="33" w:name="refs_main"/>
    <w:bookmarkEnd w:id="33"/>
    <w:bookmarkEnd w:id="34"/>
    <w:bookmarkStart w:id="43" w:name="sec:license"/>
    <w:p>
      <w:pPr>
        <w:pStyle w:val="Heading1"/>
      </w:pPr>
      <w:r>
        <w:t xml:space="preserve">Appendix</w:t>
      </w:r>
    </w:p>
    <w:bookmarkStart w:id="42" w:name="sec:license"/>
    <w:p>
      <w:pPr>
        <w:pStyle w:val="Heading3"/>
      </w:pPr>
      <w:r>
        <w:t xml:space="preserve">License</w:t>
      </w:r>
    </w:p>
    <w:p>
      <w:pPr>
        <w:pStyle w:val="FirstParagraph"/>
      </w:pPr>
      <w:r>
        <w:t xml:space="preserve">No license but a table in Table 2</w:t>
      </w:r>
    </w:p>
    <w:bookmarkStart w:id="35" w:name="tbl:search"/>
    <w:p>
      <w:pPr>
        <w:pStyle w:val="TableCaption"/>
      </w:pPr>
      <w:r>
        <w:t xml:space="preserve">Table 2: Parameters and ranges used in the optimization algorithm</w:t>
      </w:r>
    </w:p>
    <w:tbl>
      <w:tblPr>
        <w:tblStyle w:val="Table"/>
        <w:tblW w:type="pct" w:w="0"/>
        <w:tblLook w:firstRow="1" w:lastRow="0" w:firstColumn="0" w:lastColumn="0" w:noHBand="0" w:noVBand="0" w:val="0020"/>
        <w:tblCaption w:val="Table 2: Parameters and ranges used in the optimization algorithm"/>
      </w:tblPr>
      <w:tblGrid/>
      <w:tr>
        <w:tc>
          <w:p>
            <w:pPr>
              <w:pStyle w:val="Compact"/>
              <w:jc w:val="left"/>
            </w:pPr>
            <w:r>
              <w:t xml:space="preserve">Parameter</w:t>
            </w:r>
          </w:p>
        </w:tc>
        <w:tc>
          <w:p>
            <w:pPr>
              <w:pStyle w:val="Compact"/>
              <w:jc w:val="center"/>
            </w:pPr>
            <w:r>
              <w:t xml:space="preserve">Search Domain</w:t>
            </w:r>
          </w:p>
        </w:tc>
        <w:tc>
          <w:p>
            <w:pPr>
              <w:pStyle w:val="Compact"/>
              <w:jc w:val="right"/>
            </w:pPr>
            <w:r>
              <w:t xml:space="preserve">Units</w:t>
            </w:r>
          </w:p>
        </w:tc>
      </w:tr>
      <w:tr>
        <w:tc>
          <w:p>
            <w:pPr>
              <w:pStyle w:val="Compact"/>
              <w:jc w:val="left"/>
            </w:pPr>
            <w:r>
              <w:t xml:space="preserve">Lag Cutoff (c)</w:t>
            </w:r>
          </w:p>
        </w:tc>
        <w:tc>
          <w:p>
            <w:pPr>
              <w:pStyle w:val="Compact"/>
              <w:jc w:val="center"/>
            </w:pPr>
            <w:r>
              <w:t xml:space="preserve">[</w:t>
            </w:r>
            <m:oMath>
              <m:r>
                <m:t>1</m:t>
              </m:r>
              <m:r>
                <m:rPr>
                  <m:sty m:val="p"/>
                </m:rPr>
                <m:t>/</m:t>
              </m:r>
              <m:r>
                <m:t>3</m:t>
              </m:r>
            </m:oMath>
            <w:r>
              <w:t xml:space="preserve">,</w:t>
            </w:r>
            <w:r>
              <w:t xml:space="preserve"> </w:t>
            </w:r>
            <m:oMath>
              <m:r>
                <m:t>1</m:t>
              </m:r>
              <m:r>
                <m:rPr>
                  <m:sty m:val="p"/>
                </m:rPr>
                <m:t>/</m:t>
              </m:r>
              <m:r>
                <m:t>15</m:t>
              </m:r>
            </m:oMath>
            <w:r>
              <w:t xml:space="preserve">]</w:t>
            </w:r>
          </w:p>
        </w:tc>
        <w:tc>
          <w:p>
            <w:pPr>
              <w:pStyle w:val="Compact"/>
              <w:jc w:val="right"/>
            </w:pPr>
            <w:r>
              <w:t xml:space="preserve">NA</w:t>
            </w:r>
          </w:p>
        </w:tc>
      </w:tr>
      <w:tr>
        <w:tc>
          <w:p>
            <w:pPr>
              <w:pStyle w:val="Compact"/>
              <w:jc w:val="left"/>
            </w:pPr>
            <w:r>
              <w:t xml:space="preserve">Lag Window (w)</w:t>
            </w:r>
          </w:p>
        </w:tc>
        <w:tc>
          <w:p>
            <w:pPr>
              <w:pStyle w:val="Compact"/>
              <w:jc w:val="center"/>
            </w:pPr>
            <w:r>
              <w:t xml:space="preserve">[1, 5]</w:t>
            </w:r>
          </w:p>
        </w:tc>
        <w:tc>
          <w:p>
            <w:pPr>
              <w:pStyle w:val="Compact"/>
              <w:jc w:val="right"/>
            </w:pPr>
            <w:r>
              <w:t xml:space="preserve">NA</w:t>
            </w:r>
          </w:p>
        </w:tc>
      </w:tr>
      <w:tr>
        <w:tc>
          <w:p>
            <w:pPr>
              <w:pStyle w:val="Compact"/>
              <w:jc w:val="left"/>
            </w:pPr>
            <w:r>
              <w:t xml:space="preserve">Model (m)</w:t>
            </w:r>
          </w:p>
        </w:tc>
        <w:tc>
          <w:p>
            <w:pPr>
              <w:pStyle w:val="Compact"/>
              <w:jc w:val="center"/>
            </w:pPr>
            <w:r>
              <w:t xml:space="preserve">[Spherical, Exponential]</w:t>
            </w:r>
          </w:p>
        </w:tc>
        <w:tc>
          <w:p>
            <w:pPr>
              <w:pStyle w:val="Compact"/>
              <w:jc w:val="right"/>
            </w:pPr>
            <w:r>
              <w:t xml:space="preserve">NA</w:t>
            </w:r>
          </w:p>
        </w:tc>
      </w:tr>
      <w:tr>
        <w:tc>
          <w:p>
            <w:pPr>
              <w:pStyle w:val="Compact"/>
              <w:jc w:val="left"/>
            </w:pPr>
            <w:r>
              <w:t xml:space="preserve">Sill (s)</w:t>
            </w:r>
          </w:p>
        </w:tc>
        <w:tc>
          <w:p>
            <w:pPr>
              <w:pStyle w:val="Compact"/>
              <w:jc w:val="center"/>
            </w:pPr>
            <w:r>
              <w:t xml:space="preserve">[1,</w:t>
            </w:r>
            <w:r>
              <w:t xml:space="preserve"> </w:t>
            </w:r>
            <m:oMath>
              <m:r>
                <m:t>1000</m:t>
              </m:r>
              <m:rad>
                <m:radPr>
                  <m:degHide m:val="1"/>
                </m:radPr>
                <m:deg/>
                <m:e>
                  <m:r>
                    <m:t>2</m:t>
                  </m:r>
                </m:e>
              </m:rad>
            </m:oMath>
            <w:r>
              <w:t xml:space="preserve">]</w:t>
            </w:r>
          </w:p>
        </w:tc>
        <w:tc>
          <w:p>
            <w:pPr>
              <w:pStyle w:val="Compact"/>
              <w:jc w:val="right"/>
            </w:pPr>
            <m:oMath>
              <m:r>
                <m:t>m</m:t>
              </m:r>
              <m:r>
                <m:t>W</m:t>
              </m:r>
              <m:sSup>
                <m:e>
                  <m:r>
                    <m:t>m</m:t>
                  </m:r>
                </m:e>
                <m:sup>
                  <m:r>
                    <m:rPr>
                      <m:sty m:val="p"/>
                    </m:rPr>
                    <m:t>−</m:t>
                  </m:r>
                  <m:r>
                    <m:t>2</m:t>
                  </m:r>
                </m:sup>
              </m:sSup>
            </m:oMath>
          </w:p>
        </w:tc>
      </w:tr>
      <w:tr>
        <w:tc>
          <w:p>
            <w:pPr>
              <w:pStyle w:val="Compact"/>
              <w:jc w:val="left"/>
            </w:pPr>
            <w:r>
              <w:t xml:space="preserve">Effective Range (a)</w:t>
            </w:r>
          </w:p>
        </w:tc>
        <w:tc>
          <w:p>
            <w:pPr>
              <w:pStyle w:val="Compact"/>
              <w:jc w:val="center"/>
            </w:pPr>
            <w:r>
              <w:t xml:space="preserve">[1, 1000]</w:t>
            </w:r>
          </w:p>
        </w:tc>
        <w:tc>
          <w:p>
            <w:pPr>
              <w:pStyle w:val="Compact"/>
              <w:jc w:val="right"/>
            </w:pPr>
            <w:r>
              <w:t xml:space="preserve">km</w:t>
            </w:r>
          </w:p>
        </w:tc>
      </w:tr>
      <w:tr>
        <w:tc>
          <w:p>
            <w:pPr>
              <w:pStyle w:val="Compact"/>
              <w:jc w:val="left"/>
            </w:pPr>
            <w:r>
              <w:t xml:space="preserve">Nugget (n)</w:t>
            </w:r>
          </w:p>
        </w:tc>
        <w:tc>
          <w:p>
            <w:pPr>
              <w:pStyle w:val="Compact"/>
              <w:jc w:val="center"/>
            </w:pPr>
            <w:r>
              <w:t xml:space="preserve">[1,</w:t>
            </w:r>
            <w:r>
              <w:t xml:space="preserve"> </w:t>
            </w:r>
            <m:oMath>
              <m:r>
                <m:t>1000</m:t>
              </m:r>
              <m:rad>
                <m:radPr>
                  <m:degHide m:val="1"/>
                </m:radPr>
                <m:deg/>
                <m:e>
                  <m:r>
                    <m:t>2</m:t>
                  </m:r>
                </m:e>
              </m:rad>
            </m:oMath>
            <w:r>
              <w:t xml:space="preserve">]</w:t>
            </w:r>
          </w:p>
        </w:tc>
        <w:tc>
          <w:p>
            <w:pPr>
              <w:pStyle w:val="Compact"/>
              <w:jc w:val="right"/>
            </w:pPr>
            <m:oMath>
              <m:r>
                <m:t>m</m:t>
              </m:r>
              <m:r>
                <m:t>W</m:t>
              </m:r>
              <m:sSup>
                <m:e>
                  <m:r>
                    <m:t>m</m:t>
                  </m:r>
                </m:e>
                <m:sup>
                  <m:r>
                    <m:rPr>
                      <m:sty m:val="p"/>
                    </m:rPr>
                    <m:t>−</m:t>
                  </m:r>
                  <m:r>
                    <m:t>2</m:t>
                  </m:r>
                </m:sup>
              </m:sSup>
            </m:oMath>
          </w:p>
        </w:tc>
      </w:tr>
      <w:tr>
        <w:tc>
          <w:p>
            <w:pPr>
              <w:pStyle w:val="Compact"/>
              <w:jc w:val="left"/>
            </w:pPr>
            <w:r>
              <w:t xml:space="preserve">Local Search (S)</w:t>
            </w:r>
          </w:p>
        </w:tc>
        <w:tc>
          <w:p>
            <w:pPr>
              <w:pStyle w:val="Compact"/>
              <w:jc w:val="center"/>
            </w:pPr>
            <w:r>
              <w:t xml:space="preserve">[1, 10000]</w:t>
            </w:r>
          </w:p>
        </w:tc>
        <w:tc>
          <w:p>
            <w:pPr>
              <w:pStyle w:val="Compact"/>
              <w:jc w:val="right"/>
            </w:pPr>
            <w:r>
              <w:t xml:space="preserve">km</w:t>
            </w:r>
          </w:p>
        </w:tc>
      </w:tr>
    </w:tbl>
    <w:bookmarkEnd w:id="35"/>
    <w:bookmarkStart w:id="41" w:name="refs"/>
    <w:bookmarkStart w:id="36" w:name="ref-hasterok2008"/>
    <w:p>
      <w:pPr>
        <w:pStyle w:val="Bibliography"/>
      </w:pPr>
      <w:r>
        <w:t xml:space="preserve">Hasterok, D., &amp; Chapman, D. (2008). Global heat flow: A new database and a new approach. In</w:t>
      </w:r>
      <w:r>
        <w:t xml:space="preserve"> </w:t>
      </w:r>
      <w:r>
        <w:rPr>
          <w:iCs/>
          <w:i/>
        </w:rPr>
        <w:t xml:space="preserve">AGU fall meeting abstracts</w:t>
      </w:r>
      <w:r>
        <w:t xml:space="preserve"> </w:t>
      </w:r>
      <w:r>
        <w:t xml:space="preserve">(Vol. 2008, pp. T21C–1985).</w:t>
      </w:r>
    </w:p>
    <w:bookmarkEnd w:id="36"/>
    <w:bookmarkStart w:id="37" w:name="ref-krige1951"/>
    <w:p>
      <w:pPr>
        <w:pStyle w:val="Bibliography"/>
      </w:pPr>
      <w:r>
        <w:t xml:space="preserve">Krige, D. G. (1951). A statistical approach to some basic mine valuation problems on the witwatersrand.</w:t>
      </w:r>
      <w:r>
        <w:t xml:space="preserve"> </w:t>
      </w:r>
      <w:r>
        <w:rPr>
          <w:iCs/>
          <w:i/>
        </w:rPr>
        <w:t xml:space="preserve">Journal of the Southern African Institute of Mining and Metallurgy</w:t>
      </w:r>
      <w:r>
        <w:t xml:space="preserve">,</w:t>
      </w:r>
      <w:r>
        <w:t xml:space="preserve"> </w:t>
      </w:r>
      <w:r>
        <w:rPr>
          <w:iCs/>
          <w:i/>
        </w:rPr>
        <w:t xml:space="preserve">52</w:t>
      </w:r>
      <w:r>
        <w:t xml:space="preserve">(6), 119–139.</w:t>
      </w:r>
    </w:p>
    <w:bookmarkEnd w:id="37"/>
    <w:bookmarkStart w:id="38" w:name="ref-lucazeau2019"/>
    <w:p>
      <w:pPr>
        <w:pStyle w:val="Bibliography"/>
      </w:pPr>
      <w:r>
        <w:t xml:space="preserve">Lucazeau, F. (2019). Analysis and mapping of an updated terrestrial heat flow data set.</w:t>
      </w:r>
      <w:r>
        <w:t xml:space="preserve"> </w:t>
      </w:r>
      <w:r>
        <w:rPr>
          <w:iCs/>
          <w:i/>
        </w:rPr>
        <w:t xml:space="preserve">Geochemistry, Geophysics, Geosystems</w:t>
      </w:r>
      <w:r>
        <w:t xml:space="preserve">,</w:t>
      </w:r>
      <w:r>
        <w:t xml:space="preserve"> </w:t>
      </w:r>
      <w:r>
        <w:rPr>
          <w:iCs/>
          <w:i/>
        </w:rPr>
        <w:t xml:space="preserve">20</w:t>
      </w:r>
      <w:r>
        <w:t xml:space="preserve">(8), 4001–4024.</w:t>
      </w:r>
    </w:p>
    <w:bookmarkEnd w:id="38"/>
    <w:bookmarkStart w:id="39" w:name="ref-matheron1963"/>
    <w:p>
      <w:pPr>
        <w:pStyle w:val="Bibliography"/>
      </w:pPr>
      <w:r>
        <w:t xml:space="preserve">Matheron, G. (1963). Principles of geostatistics.</w:t>
      </w:r>
      <w:r>
        <w:t xml:space="preserve"> </w:t>
      </w:r>
      <w:r>
        <w:rPr>
          <w:iCs/>
          <w:i/>
        </w:rPr>
        <w:t xml:space="preserve">Economic Geology</w:t>
      </w:r>
      <w:r>
        <w:t xml:space="preserve">,</w:t>
      </w:r>
      <w:r>
        <w:t xml:space="preserve"> </w:t>
      </w:r>
      <w:r>
        <w:rPr>
          <w:iCs/>
          <w:i/>
        </w:rPr>
        <w:t xml:space="preserve">58</w:t>
      </w:r>
      <w:r>
        <w:t xml:space="preserve">(8), 1246–1266.</w:t>
      </w:r>
    </w:p>
    <w:bookmarkEnd w:id="39"/>
    <w:bookmarkStart w:id="40" w:name="ref-pollack1993"/>
    <w:p>
      <w:pPr>
        <w:pStyle w:val="Bibliography"/>
      </w:pPr>
      <w:r>
        <w:t xml:space="preserve">Pollack, H. N., Hurter, S. J., &amp; Johnson, J. R. (1993). Heat flow from the earth’s interior: Analysis of the global data set.</w:t>
      </w:r>
      <w:r>
        <w:t xml:space="preserve"> </w:t>
      </w:r>
      <w:r>
        <w:rPr>
          <w:iCs/>
          <w:i/>
        </w:rPr>
        <w:t xml:space="preserve">Reviews of Geophysics</w:t>
      </w:r>
      <w:r>
        <w:t xml:space="preserve">,</w:t>
      </w:r>
      <w:r>
        <w:t xml:space="preserve"> </w:t>
      </w:r>
      <w:r>
        <w:rPr>
          <w:iCs/>
          <w:i/>
        </w:rPr>
        <w:t xml:space="preserve">31</w:t>
      </w:r>
      <w:r>
        <w:t xml:space="preserve">(3), 267–280.</w:t>
      </w:r>
    </w:p>
    <w:bookmarkEnd w:id="40"/>
    <w:bookmarkEnd w:id="41"/>
    <w:bookmarkEnd w:id="42"/>
    <w:bookmarkEnd w:id="43"/>
    <w:sectPr w:rsidR="00545FC4">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A06600C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656F6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624CF0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7C06F5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3ED248F0"/>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5">
    <w:nsid w:val="FFFFFF81"/>
    <w:multiLevelType w:val="singleLevel"/>
    <w:tmpl w:val="AAA8779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F990BD8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7F80BD9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C3EA9E6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BFA88E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120A872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BD282A4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0A99411"/>
    <w:multiLevelType w:val="multilevel"/>
    <w:tmpl w:val="517C6180"/>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3">
    <w:nsid w:val="00A99414"/>
    <w:multiLevelType w:val="multilevel"/>
    <w:tmpl w:val="797E67B6"/>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14">
    <w:nsid w:val="00A99711"/>
    <w:multiLevelType w:val="multilevel"/>
    <w:tmpl w:val="EEDE4B62"/>
    <w:lvl w:ilvl="0">
      <w:start w:val="1"/>
      <w:numFmt w:val="lowerLetter"/>
      <w:lvlText w:val="%1."/>
      <w:lvlJc w:val="left"/>
      <w:pPr>
        <w:ind w:hanging="480" w:left="720"/>
      </w:pPr>
    </w:lvl>
    <w:lvl w:ilvl="1">
      <w:start w:val="1"/>
      <w:numFmt w:val="lowerLetter"/>
      <w:lvlText w:val="%2."/>
      <w:lvlJc w:val="left"/>
      <w:pPr>
        <w:ind w:hanging="480" w:left="1440"/>
      </w:pPr>
    </w:lvl>
    <w:lvl w:ilvl="2">
      <w:start w:val="1"/>
      <w:numFmt w:val="lowerLetter"/>
      <w:lvlText w:val="%3."/>
      <w:lvlJc w:val="left"/>
      <w:pPr>
        <w:ind w:hanging="480" w:left="2160"/>
      </w:pPr>
    </w:lvl>
    <w:lvl w:ilvl="3">
      <w:start w:val="1"/>
      <w:numFmt w:val="lowerLetter"/>
      <w:lvlText w:val="%4."/>
      <w:lvlJc w:val="left"/>
      <w:pPr>
        <w:ind w:hanging="480" w:left="2880"/>
      </w:pPr>
    </w:lvl>
    <w:lvl w:ilvl="4">
      <w:start w:val="1"/>
      <w:numFmt w:val="lowerLetter"/>
      <w:lvlText w:val="%5."/>
      <w:lvlJc w:val="left"/>
      <w:pPr>
        <w:ind w:hanging="480" w:left="3600"/>
      </w:pPr>
    </w:lvl>
    <w:lvl w:ilvl="5">
      <w:start w:val="1"/>
      <w:numFmt w:val="lowerLetter"/>
      <w:lvlText w:val="%6."/>
      <w:lvlJc w:val="left"/>
      <w:pPr>
        <w:ind w:hanging="480" w:left="4320"/>
      </w:pPr>
    </w:lvl>
    <w:lvl w:ilvl="6">
      <w:start w:val="1"/>
      <w:numFmt w:val="lowerLetter"/>
      <w:lvlText w:val="%7."/>
      <w:lvlJc w:val="left"/>
      <w:pPr>
        <w:ind w:hanging="480" w:left="5040"/>
      </w:pPr>
    </w:lvl>
    <w:lvl w:ilvl="7">
      <w:start w:val="1"/>
      <w:numFmt w:val="lowerLetter"/>
      <w:lvlText w:val="%8."/>
      <w:lvlJc w:val="left"/>
      <w:pPr>
        <w:ind w:hanging="480" w:left="5760"/>
      </w:pPr>
    </w:lvl>
    <w:lvl w:ilvl="8">
      <w:start w:val="1"/>
      <w:numFmt w:val="lowerLetter"/>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11"/>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4B4A28"/>
    <w:pPr>
      <w:keepNext/>
      <w:keepLines/>
      <w:spacing w:after="0" w:before="480"/>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4B4A28"/>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4B4A28"/>
    <w:pPr>
      <w:spacing w:after="180" w:before="180"/>
    </w:pPr>
    <w:rPr>
      <w:rFonts w:ascii="Times New Roman" w:hAnsi="Times New Roman"/>
    </w:rPr>
  </w:style>
  <w:style w:customStyle="1" w:styleId="FirstParagraph" w:type="paragraph">
    <w:name w:val="First Paragraph"/>
    <w:basedOn w:val="BodyText"/>
    <w:next w:val="BodyText"/>
    <w:qFormat/>
    <w:rsid w:val="004B4A28"/>
  </w:style>
  <w:style w:customStyle="1" w:styleId="Compact" w:type="paragraph">
    <w:name w:val="Compact"/>
    <w:basedOn w:val="BodyText"/>
    <w:qFormat/>
    <w:pPr>
      <w:spacing w:after="36" w:before="36"/>
    </w:pPr>
  </w:style>
  <w:style w:styleId="Title" w:type="paragraph">
    <w:name w:val="Title"/>
    <w:basedOn w:val="Normal"/>
    <w:next w:val="BodyText"/>
    <w:qFormat/>
    <w:rsid w:val="004B4A28"/>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4B4A28"/>
    <w:pPr>
      <w:keepNext/>
      <w:keepLines/>
      <w:spacing w:after="300" w:before="300"/>
    </w:pPr>
    <w:rPr>
      <w:rFonts w:ascii="Times New Roman" w:hAnsi="Times New Roman"/>
      <w:i/>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rsid w:val="006E4026"/>
    <w:pPr>
      <w:keepLines/>
      <w:jc w:val="center"/>
    </w:pPr>
    <w:rPr>
      <w:rFonts w:ascii="Times New Roman" w:hAnsi="Times New Roman"/>
      <w:sz w:val="20"/>
      <w:szCs w:val="20"/>
    </w:rPr>
    <w:tblPr>
      <w:jc w:val="center"/>
      <w:tblInd w:type="dxa" w:w="0"/>
      <w:tblCellMar>
        <w:top w:type="dxa" w:w="0"/>
        <w:left w:type="dxa" w:w="108"/>
        <w:bottom w:type="dxa" w:w="0"/>
        <w:right w:type="dxa" w:w="108"/>
      </w:tblCellMar>
    </w:tblPr>
    <w:trPr>
      <w:jc w:val="center"/>
    </w:trPr>
    <w:tcPr>
      <w:vAlign w:val="center"/>
    </w:tc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4B4A28"/>
    <w:pPr>
      <w:keepNext/>
      <w:jc w:val="center"/>
    </w:pPr>
    <w:rPr>
      <w:rFonts w:ascii="Times New Roman" w:hAnsi="Times New Roman"/>
    </w:rPr>
  </w:style>
  <w:style w:customStyle="1" w:styleId="ImageCaption" w:type="paragraph">
    <w:name w:val="Image Caption"/>
    <w:basedOn w:val="Caption"/>
    <w:rsid w:val="004B4A28"/>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4B4A28"/>
    <w:pPr>
      <w:keepNext/>
      <w:jc w:val="center"/>
    </w:pPr>
    <w:rPr>
      <w:rFonts w:ascii="Times New Roman" w:hAnsi="Times New Roman"/>
    </w:r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A45F92"/>
    <w:rPr>
      <w:rFonts w:ascii="Courier New" w:hAnsi="Courier New"/>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A45F92"/>
    <w:pPr>
      <w:shd w:color="auto" w:fill="F8F8F8" w:val="clear"/>
      <w:wordWrap w:val="0"/>
    </w:pPr>
    <w:rPr>
      <w:rFonts w:ascii="Courier New" w:hAnsi="Courier New"/>
    </w:r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4B4A2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25" Target="https://doi.org/10.17605/OSF.IO/CA6ZU" TargetMode="External" /></Relationships>
</file>

<file path=word/_rels/footnotes.xml.rels><?xml version="1.0" encoding="UTF-8"?><Relationships xmlns="http://schemas.openxmlformats.org/package/2006/relationships"><Relationship Type="http://schemas.openxmlformats.org/officeDocument/2006/relationships/hyperlink" Id="rId25" Target="https://doi.org/10.17605/OSF.IO/CA6Z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127</Pages>
  <Words>47915</Words>
  <Characters>273116</Characters>
  <Application>Microsoft Office Word</Application>
  <DocSecurity>0</DocSecurity>
  <Lines>2275</Lines>
  <Paragraphs>640</Paragraphs>
  <ScaleCrop>false</ScaleCrop>
  <HeadingPairs>
    <vt:vector size="2" baseType="variant">
      <vt:variant>
        <vt:lpstr>Title</vt:lpstr>
      </vt:variant>
      <vt:variant>
        <vt:i4>1</vt:i4>
      </vt:variant>
    </vt:vector>
  </HeadingPairs>
  <TitlesOfParts>
    <vt:vector size="1" baseType="lpstr">
      <vt:lpstr>A comparison of heat flow interpolations near subduction zones</vt:lpstr>
    </vt:vector>
  </TitlesOfParts>
  <Company/>
  <LinksUpToDate>false</LinksUpToDate>
  <CharactersWithSpaces>320391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Chutes and Ladders</dc:title>
  <dc:creator/>
  <cp:keywords/>
  <dcterms:created xsi:type="dcterms:W3CDTF">2021-05-26T18:44:26Z</dcterms:created>
  <dcterms:modified xsi:type="dcterms:W3CDTF">2021-05-26T18:44:26Z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ffiliations">
    <vt:lpwstr/>
  </property>
  <property fmtid="{D5CDD505-2E9C-101B-9397-08002B2CF9AE}" pid="4" name="authors">
    <vt:lpwstr/>
  </property>
  <property fmtid="{D5CDD505-2E9C-101B-9397-08002B2CF9AE}" pid="5" name="autoEqnLabels">
    <vt:lpwstr>False</vt:lpwstr>
  </property>
  <property fmtid="{D5CDD505-2E9C-101B-9397-08002B2CF9AE}" pid="6" name="autoSectionLabels">
    <vt:lpwstr>False</vt:lpwstr>
  </property>
  <property fmtid="{D5CDD505-2E9C-101B-9397-08002B2CF9AE}" pid="7" name="bibliography">
    <vt:lpwstr>ref.bib</vt:lpwstr>
  </property>
  <property fmtid="{D5CDD505-2E9C-101B-9397-08002B2CF9AE}" pid="8" name="ccsDelim">
    <vt:lpwstr>, </vt:lpwstr>
  </property>
  <property fmtid="{D5CDD505-2E9C-101B-9397-08002B2CF9AE}" pid="9" name="ccsLabelSep">
    <vt:lpwstr> — </vt:lpwstr>
  </property>
  <property fmtid="{D5CDD505-2E9C-101B-9397-08002B2CF9AE}" pid="10" name="ccsTemplate">
    <vt:lpwstr>iccsLabelSept</vt:lpwstr>
  </property>
  <property fmtid="{D5CDD505-2E9C-101B-9397-08002B2CF9AE}" pid="11" name="chapDelim">
    <vt:lpwstr>.</vt:lpwstr>
  </property>
  <property fmtid="{D5CDD505-2E9C-101B-9397-08002B2CF9AE}" pid="12" name="chapters">
    <vt:lpwstr>False</vt:lpwstr>
  </property>
  <property fmtid="{D5CDD505-2E9C-101B-9397-08002B2CF9AE}" pid="13" name="chaptersDepth">
    <vt:lpwstr>1</vt:lpwstr>
  </property>
  <property fmtid="{D5CDD505-2E9C-101B-9397-08002B2CF9AE}" pid="14" name="classoption">
    <vt:lpwstr>draft,linenumbers</vt:lpwstr>
  </property>
  <property fmtid="{D5CDD505-2E9C-101B-9397-08002B2CF9AE}" pid="15" name="codeBlockCaptions">
    <vt:lpwstr>False</vt:lpwstr>
  </property>
  <property fmtid="{D5CDD505-2E9C-101B-9397-08002B2CF9AE}" pid="16" name="corresponding_author">
    <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g3.csl</vt:lpwstr>
  </property>
  <property fmtid="{D5CDD505-2E9C-101B-9397-08002B2CF9AE}" pid="20" name="eqLabels">
    <vt:lpwstr>arabic</vt:lpwstr>
  </property>
  <property fmtid="{D5CDD505-2E9C-101B-9397-08002B2CF9AE}" pid="21" name="eqnPrefix">
    <vt:lpwstr/>
  </property>
  <property fmtid="{D5CDD505-2E9C-101B-9397-08002B2CF9AE}" pid="22" name="eqnPrefixTemplate">
    <vt:lpwstr>p i</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header-includes">
    <vt:lpwstr/>
  </property>
  <property fmtid="{D5CDD505-2E9C-101B-9397-08002B2CF9AE}" pid="29" name="journal">
    <vt:lpwstr>Geochemistry, Geophysics, Geosystems</vt:lpwstr>
  </property>
  <property fmtid="{D5CDD505-2E9C-101B-9397-08002B2CF9AE}" pid="30" name="keypoints">
    <vt:lpwstr/>
  </property>
  <property fmtid="{D5CDD505-2E9C-101B-9397-08002B2CF9AE}" pid="31" name="lastDelim">
    <vt:lpwstr>, </vt:lpwstr>
  </property>
  <property fmtid="{D5CDD505-2E9C-101B-9397-08002B2CF9AE}" pid="32" name="link-citations">
    <vt:lpwstr>yes</vt:lpwstr>
  </property>
  <property fmtid="{D5CDD505-2E9C-101B-9397-08002B2CF9AE}" pid="33" name="linkReferences">
    <vt:lpwstr>False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Title">
    <vt:lpwstr>List of Figures</vt:lpwstr>
  </property>
  <property fmtid="{D5CDD505-2E9C-101B-9397-08002B2CF9AE}" pid="38" name="lolTitle">
    <vt:lpwstr>List of Listings</vt:lpwstr>
  </property>
  <property fmtid="{D5CDD505-2E9C-101B-9397-08002B2CF9AE}" pid="39" name="lotTitle">
    <vt:lpwstr>List of Tables</vt:lpwstr>
  </property>
  <property fmtid="{D5CDD505-2E9C-101B-9397-08002B2CF9AE}" pid="40" name="lstLabels">
    <vt:lpwstr>arabic</vt:lpwstr>
  </property>
  <property fmtid="{D5CDD505-2E9C-101B-9397-08002B2CF9AE}" pid="41" name="lstPrefix">
    <vt:lpwstr/>
  </property>
  <property fmtid="{D5CDD505-2E9C-101B-9397-08002B2CF9AE}" pid="42" name="lstPrefixTemplate">
    <vt:lpwstr>p i</vt:lpwstr>
  </property>
  <property fmtid="{D5CDD505-2E9C-101B-9397-08002B2CF9AE}" pid="43" name="nameInLink">
    <vt:lpwstr>False</vt:lpwstr>
  </property>
  <property fmtid="{D5CDD505-2E9C-101B-9397-08002B2CF9AE}" pid="44" name="numberSections">
    <vt:lpwstr>False</vt:lpwstr>
  </property>
  <property fmtid="{D5CDD505-2E9C-101B-9397-08002B2CF9AE}" pid="45" name="output">
    <vt:lpwstr/>
  </property>
  <property fmtid="{D5CDD505-2E9C-101B-9397-08002B2CF9AE}" pid="46" name="pairDelim">
    <vt:lpwstr>, </vt:lpwstr>
  </property>
  <property fmtid="{D5CDD505-2E9C-101B-9397-08002B2CF9AE}" pid="47" name="plain_language_summary">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blLabels">
    <vt:lpwstr>arabic</vt:lpwstr>
  </property>
  <property fmtid="{D5CDD505-2E9C-101B-9397-08002B2CF9AE}" pid="67" name="tblPrefix">
    <vt:lpwstr/>
  </property>
  <property fmtid="{D5CDD505-2E9C-101B-9397-08002B2CF9AE}" pid="68" name="tblPrefixTemplate">
    <vt:lpwstr>p i</vt:lpwstr>
  </property>
  <property fmtid="{D5CDD505-2E9C-101B-9397-08002B2CF9AE}" pid="69" name="titleDelim">
    <vt:lpwstr>:</vt:lpwstr>
  </property>
</Properties>
</file>